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590A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725BEF" w:rsidRDefault="00725BEF">
            <w:pPr>
              <w:pStyle w:val="1CStyle-1"/>
              <w:jc w:val="left"/>
            </w:pPr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</w:tr>
      <w:tr w:rsidR="00590A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725BEF" w:rsidRDefault="00725BEF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</w:tr>
      <w:tr w:rsidR="00725B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725BEF" w:rsidRDefault="00590AA4">
            <w:pPr>
              <w:pStyle w:val="1CStyle1"/>
            </w:pPr>
            <w:r>
              <w:t>Техническое задание по Лоту №1</w:t>
            </w:r>
          </w:p>
        </w:tc>
      </w:tr>
      <w:tr w:rsidR="00725B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725BEF" w:rsidRDefault="00590AA4">
            <w:pPr>
              <w:pStyle w:val="1CStyle1"/>
            </w:pPr>
            <w:r>
              <w:t>По открытому запросу предложений  в электронной форме № 100 753</w:t>
            </w:r>
          </w:p>
        </w:tc>
      </w:tr>
      <w:tr w:rsidR="00725B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725BEF" w:rsidRDefault="00590AA4">
            <w:pPr>
              <w:pStyle w:val="1CStyle1"/>
            </w:pPr>
            <w:r>
              <w:t>Для нужд: АО "Газпром газораспределение Смоленск"</w:t>
            </w:r>
          </w:p>
        </w:tc>
      </w:tr>
      <w:tr w:rsidR="00590A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725BEF" w:rsidRDefault="00725BEF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</w:tr>
      <w:tr w:rsidR="00590A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725BEF" w:rsidRDefault="00725BEF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</w:tr>
      <w:tr w:rsidR="00590A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725BEF" w:rsidRDefault="00725BEF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</w:tr>
      <w:tr w:rsidR="00590A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725BEF" w:rsidRDefault="00725BEF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  <w:jc w:val="left"/>
            </w:pPr>
          </w:p>
        </w:tc>
      </w:tr>
      <w:tr w:rsidR="00725B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2"/>
            </w:pPr>
            <w: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3"/>
              <w:jc w:val="left"/>
            </w:pPr>
            <w: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4"/>
              <w:jc w:val="left"/>
            </w:pPr>
            <w: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4"/>
              <w:jc w:val="left"/>
            </w:pPr>
            <w:r>
              <w:t>ОКВЭД</w:t>
            </w:r>
          </w:p>
        </w:tc>
      </w:tr>
      <w:tr w:rsidR="00725B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2"/>
            </w:pPr>
            <w: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3"/>
              <w:jc w:val="left"/>
            </w:pPr>
            <w: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725BEF">
            <w:pPr>
              <w:pStyle w:val="1CStyle5"/>
              <w:jc w:val="left"/>
            </w:pP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725BEF">
            <w:pPr>
              <w:pStyle w:val="1CStyle5"/>
              <w:jc w:val="left"/>
            </w:pPr>
          </w:p>
        </w:tc>
      </w:tr>
      <w:tr w:rsidR="00725B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6"/>
            </w:pPr>
            <w:r>
              <w:t>№</w:t>
            </w:r>
            <w: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7"/>
            </w:pPr>
            <w: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8"/>
            </w:pPr>
            <w:r>
              <w:t>Ед.</w:t>
            </w:r>
            <w: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9"/>
            </w:pPr>
            <w:r>
              <w:t>Колич</w:t>
            </w:r>
            <w: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9"/>
            </w:pPr>
            <w:r>
              <w:t>Допустимость аналога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10"/>
            </w:pPr>
            <w: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11"/>
            </w:pPr>
            <w:r>
              <w:t>Место (адрес) поставки товара</w:t>
            </w:r>
          </w:p>
        </w:tc>
      </w:tr>
      <w:tr w:rsidR="00725B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12"/>
            </w:pPr>
            <w: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13"/>
              <w:jc w:val="left"/>
            </w:pPr>
            <w:r>
              <w:t>Устройство многофункциональное Kyocera TASKalfa</w:t>
            </w:r>
            <w:r>
              <w:t xml:space="preserve"> 3010i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9"/>
            </w:pPr>
            <w: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13"/>
              <w:jc w:val="left"/>
            </w:pPr>
            <w:r>
              <w:t>АО "Газпром газораспределение Смоленск"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13"/>
              <w:jc w:val="left"/>
            </w:pPr>
            <w:r>
              <w:t>г. Смоленск,  ул.Лавочкина 101</w:t>
            </w:r>
          </w:p>
        </w:tc>
      </w:tr>
      <w:tr w:rsidR="00725B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12"/>
            </w:pPr>
            <w:r>
              <w:t>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13"/>
              <w:jc w:val="left"/>
            </w:pPr>
            <w:r>
              <w:t>Автоподатчик реверсивный Kyocera DP-773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9"/>
            </w:pPr>
            <w: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13"/>
              <w:jc w:val="left"/>
            </w:pPr>
            <w:r>
              <w:t>АО "Газпром газораспределение Смоленск"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13"/>
              <w:jc w:val="left"/>
            </w:pPr>
            <w:r>
              <w:t>г. Смоленск,  ул.Лавочкина 101</w:t>
            </w:r>
          </w:p>
        </w:tc>
      </w:tr>
      <w:tr w:rsidR="00590A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16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</w:tr>
      <w:tr w:rsidR="00725B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25BEF" w:rsidRDefault="00590AA4">
            <w:pPr>
              <w:pStyle w:val="1CStyle17"/>
            </w:pPr>
            <w: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25BEF" w:rsidRDefault="00590AA4">
            <w:pPr>
              <w:pStyle w:val="1CStyle18"/>
              <w:jc w:val="left"/>
            </w:pPr>
            <w:r>
              <w:t>Условия поставки товаров</w:t>
            </w:r>
          </w:p>
        </w:tc>
      </w:tr>
      <w:tr w:rsidR="00725B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25BEF" w:rsidRDefault="00590AA4">
            <w:pPr>
              <w:pStyle w:val="1CStyle19"/>
            </w:pPr>
            <w: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5"/>
              <w:jc w:val="left"/>
            </w:pPr>
            <w:r>
              <w:t>АО "Газпром газораспределение Смоленск"</w:t>
            </w:r>
          </w:p>
        </w:tc>
      </w:tr>
      <w:tr w:rsidR="00725B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25BEF" w:rsidRDefault="00590AA4">
            <w:pPr>
              <w:pStyle w:val="1CStyle19"/>
            </w:pPr>
            <w: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20"/>
              <w:jc w:val="left"/>
            </w:pPr>
            <w:r>
              <w:t>г. Смоленск,  ул.Лавочкина 101</w:t>
            </w:r>
          </w:p>
        </w:tc>
      </w:tr>
      <w:tr w:rsidR="00725B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25BEF" w:rsidRDefault="00590AA4">
            <w:pPr>
              <w:pStyle w:val="1CStyle19"/>
            </w:pPr>
            <w:r>
              <w:t>Срок (период)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20"/>
              <w:jc w:val="left"/>
            </w:pPr>
            <w:r>
              <w:t xml:space="preserve">От 5 до 30 календарных дней с даты заключения </w:t>
            </w:r>
            <w:r>
              <w:t>договора</w:t>
            </w:r>
          </w:p>
        </w:tc>
      </w:tr>
      <w:tr w:rsidR="00590A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16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16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725BEF" w:rsidRDefault="00725BEF">
            <w:pPr>
              <w:pStyle w:val="1CStyle0"/>
            </w:pPr>
          </w:p>
        </w:tc>
      </w:tr>
      <w:tr w:rsidR="00725B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25BEF" w:rsidRDefault="00590AA4">
            <w:pPr>
              <w:pStyle w:val="1CStyle17"/>
            </w:pPr>
            <w: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25BEF" w:rsidRDefault="00590AA4">
            <w:pPr>
              <w:pStyle w:val="1CStyle21"/>
              <w:jc w:val="left"/>
            </w:pPr>
            <w:r>
              <w:t>Условия проведения закупочной процедуры.</w:t>
            </w:r>
          </w:p>
        </w:tc>
      </w:tr>
      <w:tr w:rsidR="00725B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22"/>
              <w:jc w:val="left"/>
            </w:pPr>
            <w: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23"/>
            </w:pPr>
            <w:r>
              <w:t>109 740,00</w:t>
            </w:r>
          </w:p>
        </w:tc>
        <w:tc>
          <w:tcPr>
            <w:tcW w:w="2312" w:type="dxa"/>
            <w:gridSpan w:val="8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24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25"/>
            </w:pPr>
            <w:r>
              <w:t>Открытый запрос предложений в электронной форме</w:t>
            </w:r>
          </w:p>
        </w:tc>
      </w:tr>
      <w:tr w:rsidR="00725B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22"/>
              <w:jc w:val="left"/>
            </w:pPr>
            <w:r>
              <w:t>В том числе НДС,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23"/>
            </w:pPr>
            <w:r>
              <w:t>16 740,00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24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25"/>
            </w:pPr>
            <w:r>
              <w:t>Открытый запрос предложений в электронной форме</w:t>
            </w:r>
          </w:p>
        </w:tc>
      </w:tr>
      <w:tr w:rsidR="00725B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22"/>
              <w:jc w:val="left"/>
            </w:pPr>
            <w:r>
              <w:t xml:space="preserve"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</w:t>
            </w:r>
            <w:r>
              <w:t>(без 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26"/>
            </w:pPr>
            <w:r>
              <w:t>93 000,00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24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25BEF" w:rsidRDefault="00590AA4">
            <w:pPr>
              <w:pStyle w:val="1CStyle25"/>
            </w:pPr>
            <w:r>
              <w:t>Открытый запрос предложений в электронной форме</w:t>
            </w:r>
          </w:p>
        </w:tc>
      </w:tr>
    </w:tbl>
    <w:p w:rsidR="00000000" w:rsidRDefault="00590AA4"/>
    <w:sectPr w:rsidR="00000000" w:rsidSect="00590AA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25BEF"/>
    <w:rsid w:val="00590AA4"/>
    <w:rsid w:val="0072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0">
    <w:name w:val="1CStyle0"/>
    <w:pPr>
      <w:jc w:val="center"/>
    </w:pPr>
    <w:rPr>
      <w:rFonts w:ascii="Times New Roman" w:hAnsi="Times New Roman"/>
    </w:rPr>
  </w:style>
  <w:style w:type="paragraph" w:customStyle="1" w:styleId="1CStyle16">
    <w:name w:val="1CStyle16"/>
    <w:pPr>
      <w:jc w:val="center"/>
    </w:pPr>
    <w:rPr>
      <w:rFonts w:ascii="Times New Roman" w:hAnsi="Times New Roman"/>
    </w:rPr>
  </w:style>
  <w:style w:type="paragraph" w:customStyle="1" w:styleId="1CStyle21">
    <w:name w:val="1CStyle21"/>
    <w:pPr>
      <w:jc w:val="center"/>
    </w:pPr>
    <w:rPr>
      <w:rFonts w:ascii="Times New Roman" w:hAnsi="Times New Roman"/>
      <w:b/>
    </w:rPr>
  </w:style>
  <w:style w:type="paragraph" w:customStyle="1" w:styleId="1CStyle1">
    <w:name w:val="1CStyle1"/>
    <w:pPr>
      <w:jc w:val="center"/>
    </w:pPr>
    <w:rPr>
      <w:rFonts w:ascii="Times New Roman" w:hAnsi="Times New Roman"/>
      <w:b/>
      <w:sz w:val="28"/>
    </w:rPr>
  </w:style>
  <w:style w:type="paragraph" w:customStyle="1" w:styleId="1CStyle17">
    <w:name w:val="1CStyle17"/>
    <w:pPr>
      <w:jc w:val="center"/>
    </w:pPr>
    <w:rPr>
      <w:rFonts w:ascii="Times New Roman" w:hAnsi="Times New Roman"/>
      <w:b/>
    </w:rPr>
  </w:style>
  <w:style w:type="paragraph" w:customStyle="1" w:styleId="1CStyle3">
    <w:name w:val="1CStyle3"/>
    <w:pPr>
      <w:jc w:val="center"/>
    </w:pPr>
    <w:rPr>
      <w:rFonts w:ascii="Times New Roman" w:hAnsi="Times New Roman"/>
      <w:b/>
    </w:rPr>
  </w:style>
  <w:style w:type="paragraph" w:customStyle="1" w:styleId="1CStyle5">
    <w:name w:val="1CStyle5"/>
    <w:pPr>
      <w:jc w:val="center"/>
    </w:pPr>
    <w:rPr>
      <w:rFonts w:ascii="Times New Roman" w:hAnsi="Times New Roman"/>
    </w:rPr>
  </w:style>
  <w:style w:type="paragraph" w:customStyle="1" w:styleId="1CStyle4">
    <w:name w:val="1CStyle4"/>
    <w:pPr>
      <w:jc w:val="center"/>
    </w:pPr>
    <w:rPr>
      <w:rFonts w:ascii="Times New Roman" w:hAnsi="Times New Roman"/>
      <w:b/>
    </w:rPr>
  </w:style>
  <w:style w:type="paragraph" w:customStyle="1" w:styleId="1CStyle24">
    <w:name w:val="1CStyle24"/>
    <w:pPr>
      <w:jc w:val="center"/>
    </w:pPr>
    <w:rPr>
      <w:rFonts w:ascii="Times New Roman" w:hAnsi="Times New Roman"/>
    </w:rPr>
  </w:style>
  <w:style w:type="paragraph" w:customStyle="1" w:styleId="1CStyle2">
    <w:name w:val="1CStyle2"/>
    <w:pPr>
      <w:jc w:val="center"/>
    </w:pPr>
    <w:rPr>
      <w:rFonts w:ascii="Times New Roman" w:hAnsi="Times New Roman"/>
      <w:b/>
    </w:rPr>
  </w:style>
  <w:style w:type="paragraph" w:customStyle="1" w:styleId="1CStyle6">
    <w:name w:val="1CStyle6"/>
    <w:pPr>
      <w:jc w:val="center"/>
    </w:pPr>
    <w:rPr>
      <w:rFonts w:ascii="Times New Roman" w:hAnsi="Times New Roman"/>
      <w:sz w:val="20"/>
    </w:rPr>
  </w:style>
  <w:style w:type="paragraph" w:customStyle="1" w:styleId="1CStyle8">
    <w:name w:val="1CStyle8"/>
    <w:pPr>
      <w:jc w:val="center"/>
    </w:pPr>
    <w:rPr>
      <w:rFonts w:ascii="Times New Roman" w:hAnsi="Times New Roman"/>
      <w:sz w:val="20"/>
    </w:rPr>
  </w:style>
  <w:style w:type="paragraph" w:customStyle="1" w:styleId="1CStyle19">
    <w:name w:val="1CStyle19"/>
    <w:pPr>
      <w:jc w:val="right"/>
    </w:pPr>
    <w:rPr>
      <w:rFonts w:ascii="Times New Roman" w:hAnsi="Times New Roman"/>
    </w:rPr>
  </w:style>
  <w:style w:type="paragraph" w:customStyle="1" w:styleId="1CStyle-1">
    <w:name w:val="1CStyle-1"/>
    <w:pPr>
      <w:jc w:val="center"/>
    </w:pPr>
    <w:rPr>
      <w:rFonts w:ascii="Times New Roman" w:hAnsi="Times New Roman"/>
    </w:rPr>
  </w:style>
  <w:style w:type="paragraph" w:customStyle="1" w:styleId="1CStyle22">
    <w:name w:val="1CStyle22"/>
    <w:pPr>
      <w:jc w:val="center"/>
    </w:pPr>
    <w:rPr>
      <w:rFonts w:ascii="Times New Roman" w:hAnsi="Times New Roman"/>
    </w:rPr>
  </w:style>
  <w:style w:type="paragraph" w:customStyle="1" w:styleId="1CStyle20">
    <w:name w:val="1CStyle20"/>
    <w:pPr>
      <w:jc w:val="center"/>
    </w:pPr>
    <w:rPr>
      <w:rFonts w:ascii="Times New Roman" w:hAnsi="Times New Roman"/>
    </w:rPr>
  </w:style>
  <w:style w:type="paragraph" w:customStyle="1" w:styleId="1CStyle13">
    <w:name w:val="1CStyle13"/>
    <w:pPr>
      <w:jc w:val="center"/>
    </w:pPr>
    <w:rPr>
      <w:rFonts w:ascii="Times New Roman" w:hAnsi="Times New Roman"/>
      <w:sz w:val="20"/>
    </w:rPr>
  </w:style>
  <w:style w:type="paragraph" w:customStyle="1" w:styleId="1CStyle25">
    <w:name w:val="1CStyle25"/>
    <w:pPr>
      <w:jc w:val="center"/>
    </w:pPr>
    <w:rPr>
      <w:rFonts w:ascii="Times New Roman" w:hAnsi="Times New Roman"/>
    </w:rPr>
  </w:style>
  <w:style w:type="paragraph" w:customStyle="1" w:styleId="1CStyle7">
    <w:name w:val="1CStyle7"/>
    <w:pPr>
      <w:jc w:val="center"/>
    </w:pPr>
    <w:rPr>
      <w:rFonts w:ascii="Times New Roman" w:hAnsi="Times New Roman"/>
      <w:sz w:val="20"/>
    </w:rPr>
  </w:style>
  <w:style w:type="paragraph" w:customStyle="1" w:styleId="1CStyle12">
    <w:name w:val="1CStyle12"/>
    <w:pPr>
      <w:jc w:val="center"/>
    </w:pPr>
    <w:rPr>
      <w:rFonts w:ascii="Times New Roman" w:hAnsi="Times New Roman"/>
      <w:sz w:val="20"/>
    </w:rPr>
  </w:style>
  <w:style w:type="paragraph" w:customStyle="1" w:styleId="1CStyle9">
    <w:name w:val="1CStyle9"/>
    <w:pPr>
      <w:jc w:val="center"/>
    </w:pPr>
    <w:rPr>
      <w:rFonts w:ascii="Times New Roman" w:hAnsi="Times New Roman"/>
      <w:sz w:val="20"/>
    </w:rPr>
  </w:style>
  <w:style w:type="paragraph" w:customStyle="1" w:styleId="1CStyle18">
    <w:name w:val="1CStyle18"/>
    <w:pPr>
      <w:jc w:val="center"/>
    </w:pPr>
    <w:rPr>
      <w:rFonts w:ascii="Times New Roman" w:hAnsi="Times New Roman"/>
      <w:b/>
    </w:rPr>
  </w:style>
  <w:style w:type="paragraph" w:customStyle="1" w:styleId="1CStyle10">
    <w:name w:val="1CStyle10"/>
    <w:pPr>
      <w:jc w:val="center"/>
    </w:pPr>
    <w:rPr>
      <w:rFonts w:ascii="Times New Roman" w:hAnsi="Times New Roman"/>
      <w:sz w:val="20"/>
    </w:rPr>
  </w:style>
  <w:style w:type="paragraph" w:customStyle="1" w:styleId="1CStyle11">
    <w:name w:val="1CStyle11"/>
    <w:pPr>
      <w:jc w:val="center"/>
    </w:pPr>
    <w:rPr>
      <w:rFonts w:ascii="Times New Roman" w:hAnsi="Times New Roman"/>
      <w:sz w:val="20"/>
    </w:rPr>
  </w:style>
  <w:style w:type="paragraph" w:customStyle="1" w:styleId="1CStyle14">
    <w:name w:val="1CStyle14"/>
    <w:pPr>
      <w:jc w:val="right"/>
    </w:pPr>
    <w:rPr>
      <w:rFonts w:ascii="Times New Roman" w:hAnsi="Times New Roman"/>
      <w:sz w:val="20"/>
    </w:rPr>
  </w:style>
  <w:style w:type="paragraph" w:customStyle="1" w:styleId="1CStyle15">
    <w:name w:val="1CStyle15"/>
    <w:pPr>
      <w:jc w:val="center"/>
    </w:pPr>
    <w:rPr>
      <w:rFonts w:ascii="Times New Roman" w:hAnsi="Times New Roman"/>
      <w:sz w:val="20"/>
    </w:rPr>
  </w:style>
  <w:style w:type="paragraph" w:customStyle="1" w:styleId="1CStyle23">
    <w:name w:val="1CStyle23"/>
    <w:pPr>
      <w:jc w:val="center"/>
    </w:pPr>
    <w:rPr>
      <w:rFonts w:ascii="Times New Roman" w:hAnsi="Times New Roman"/>
    </w:rPr>
  </w:style>
  <w:style w:type="paragraph" w:customStyle="1" w:styleId="1CStyle26">
    <w:name w:val="1CStyle26"/>
    <w:pPr>
      <w:jc w:val="center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 Александровна Валуйская</cp:lastModifiedBy>
  <cp:revision>2</cp:revision>
  <dcterms:created xsi:type="dcterms:W3CDTF">2016-09-22T09:17:00Z</dcterms:created>
  <dcterms:modified xsi:type="dcterms:W3CDTF">2016-09-22T09:17:00Z</dcterms:modified>
</cp:coreProperties>
</file>